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26AE" w14:textId="77777777" w:rsidR="00F7300F" w:rsidRPr="00F80721" w:rsidRDefault="00F7300F" w:rsidP="00F7300F">
      <w:pPr>
        <w:ind w:left="720" w:hanging="360"/>
        <w:jc w:val="center"/>
        <w:rPr>
          <w:rFonts w:asciiTheme="majorHAnsi" w:hAnsiTheme="majorHAnsi" w:cstheme="majorHAnsi"/>
          <w:u w:val="single"/>
        </w:rPr>
      </w:pPr>
      <w:r w:rsidRPr="00F80721">
        <w:rPr>
          <w:rFonts w:asciiTheme="majorHAnsi" w:hAnsiTheme="majorHAnsi" w:cstheme="majorHAnsi"/>
          <w:u w:val="single"/>
        </w:rPr>
        <w:t xml:space="preserve">What do we do with John </w:t>
      </w:r>
      <w:r>
        <w:rPr>
          <w:rFonts w:asciiTheme="majorHAnsi" w:hAnsiTheme="majorHAnsi" w:cstheme="majorHAnsi"/>
          <w:u w:val="single"/>
        </w:rPr>
        <w:t>7:53-8:11</w:t>
      </w:r>
      <w:r w:rsidRPr="00F80721">
        <w:rPr>
          <w:rFonts w:asciiTheme="majorHAnsi" w:hAnsiTheme="majorHAnsi" w:cstheme="majorHAnsi"/>
          <w:u w:val="single"/>
        </w:rPr>
        <w:t>?</w:t>
      </w:r>
    </w:p>
    <w:p w14:paraId="1F2EB608" w14:textId="77777777" w:rsidR="00F7300F" w:rsidRPr="00F80721" w:rsidRDefault="00F7300F" w:rsidP="00F7300F">
      <w:pPr>
        <w:ind w:left="720" w:hanging="360"/>
        <w:jc w:val="center"/>
        <w:rPr>
          <w:rFonts w:asciiTheme="majorHAnsi" w:hAnsiTheme="majorHAnsi" w:cstheme="majorHAnsi"/>
        </w:rPr>
      </w:pPr>
    </w:p>
    <w:p w14:paraId="5E0A1C0F" w14:textId="77777777" w:rsidR="00F7300F" w:rsidRPr="00F80721" w:rsidRDefault="00F7300F" w:rsidP="00F7300F">
      <w:pPr>
        <w:pStyle w:val="ListParagraph"/>
        <w:numPr>
          <w:ilvl w:val="0"/>
          <w:numId w:val="1"/>
        </w:numPr>
        <w:contextualSpacing w:val="0"/>
        <w:rPr>
          <w:rFonts w:asciiTheme="majorHAnsi" w:hAnsiTheme="majorHAnsi" w:cstheme="majorHAnsi"/>
        </w:rPr>
      </w:pPr>
      <w:r w:rsidRPr="00F80721">
        <w:rPr>
          <w:rFonts w:asciiTheme="majorHAnsi" w:hAnsiTheme="majorHAnsi" w:cstheme="majorHAnsi"/>
        </w:rPr>
        <w:t>Textual Criticism and the Reliability of the Scriptures in Our Possession</w:t>
      </w:r>
    </w:p>
    <w:p w14:paraId="44E34C68" w14:textId="77777777" w:rsidR="00F7300F" w:rsidRPr="00F80721" w:rsidRDefault="00F7300F" w:rsidP="00F7300F">
      <w:pPr>
        <w:pStyle w:val="ListParagraph"/>
        <w:ind w:left="1440"/>
        <w:contextualSpacing w:val="0"/>
        <w:rPr>
          <w:rFonts w:asciiTheme="majorHAnsi" w:hAnsiTheme="majorHAnsi" w:cstheme="majorHAnsi"/>
          <w:i/>
          <w:iCs/>
        </w:rPr>
      </w:pPr>
      <w:r w:rsidRPr="00F80721">
        <w:rPr>
          <w:rFonts w:asciiTheme="majorHAnsi" w:hAnsiTheme="majorHAnsi" w:cstheme="majorHAnsi"/>
          <w:i/>
          <w:iCs/>
        </w:rPr>
        <w:t xml:space="preserve">“We affirm that inspiration, strictly speaking, applies only to the autographic text of Scripture, which in the providence of God can be ascertained from available manuscripts with great accuracy. We further affirm that copies and translations of Scripture are the Word of God </w:t>
      </w:r>
      <w:r w:rsidRPr="00F80721">
        <w:rPr>
          <w:rFonts w:asciiTheme="majorHAnsi" w:hAnsiTheme="majorHAnsi" w:cstheme="majorHAnsi"/>
          <w:i/>
          <w:iCs/>
          <w:u w:val="single"/>
        </w:rPr>
        <w:t>to the extent that they faithfully represent the original</w:t>
      </w:r>
      <w:r w:rsidRPr="00F80721">
        <w:rPr>
          <w:rFonts w:asciiTheme="majorHAnsi" w:hAnsiTheme="majorHAnsi" w:cstheme="majorHAnsi"/>
          <w:i/>
          <w:iCs/>
        </w:rPr>
        <w:t>.” (The Chicago Statement on Biblical Inerrancy, Article X)</w:t>
      </w:r>
    </w:p>
    <w:p w14:paraId="5EF70D44" w14:textId="77777777" w:rsidR="00F7300F" w:rsidRPr="00F80721" w:rsidRDefault="00F7300F" w:rsidP="00F7300F">
      <w:pPr>
        <w:pStyle w:val="ListParagraph"/>
        <w:numPr>
          <w:ilvl w:val="1"/>
          <w:numId w:val="1"/>
        </w:numPr>
        <w:contextualSpacing w:val="0"/>
        <w:rPr>
          <w:rFonts w:asciiTheme="majorHAnsi" w:hAnsiTheme="majorHAnsi" w:cstheme="majorHAnsi"/>
        </w:rPr>
      </w:pPr>
      <w:r w:rsidRPr="00F80721">
        <w:rPr>
          <w:rFonts w:asciiTheme="majorHAnsi" w:hAnsiTheme="majorHAnsi" w:cstheme="majorHAnsi"/>
        </w:rPr>
        <w:t>Survey of witnesses to the New Testament text</w:t>
      </w:r>
    </w:p>
    <w:p w14:paraId="46C4E197" w14:textId="77777777" w:rsidR="00F7300F" w:rsidRPr="00F80721" w:rsidRDefault="00F7300F" w:rsidP="00F7300F">
      <w:pPr>
        <w:pStyle w:val="ListParagraph"/>
        <w:numPr>
          <w:ilvl w:val="2"/>
          <w:numId w:val="1"/>
        </w:numPr>
        <w:contextualSpacing w:val="0"/>
        <w:rPr>
          <w:rFonts w:asciiTheme="majorHAnsi" w:hAnsiTheme="majorHAnsi" w:cstheme="majorHAnsi"/>
        </w:rPr>
      </w:pPr>
      <w:r w:rsidRPr="00F80721">
        <w:rPr>
          <w:rFonts w:asciiTheme="majorHAnsi" w:hAnsiTheme="majorHAnsi" w:cstheme="majorHAnsi"/>
        </w:rPr>
        <w:t>Ancient Greek manuscripts (5,000+)</w:t>
      </w:r>
    </w:p>
    <w:p w14:paraId="0A0F2950" w14:textId="77777777" w:rsidR="00F7300F" w:rsidRPr="00F80721" w:rsidRDefault="00F7300F" w:rsidP="00F7300F">
      <w:pPr>
        <w:pStyle w:val="ListParagraph"/>
        <w:numPr>
          <w:ilvl w:val="3"/>
          <w:numId w:val="1"/>
        </w:numPr>
        <w:contextualSpacing w:val="0"/>
        <w:rPr>
          <w:rFonts w:asciiTheme="majorHAnsi" w:hAnsiTheme="majorHAnsi" w:cstheme="majorHAnsi"/>
        </w:rPr>
      </w:pPr>
      <w:r w:rsidRPr="00F80721">
        <w:rPr>
          <w:rFonts w:asciiTheme="majorHAnsi" w:hAnsiTheme="majorHAnsi" w:cstheme="majorHAnsi"/>
        </w:rPr>
        <w:t>Papyri (~A.D. 100-A.D. 400)</w:t>
      </w:r>
    </w:p>
    <w:p w14:paraId="02B0922C" w14:textId="77777777" w:rsidR="00F7300F" w:rsidRPr="00F80721" w:rsidRDefault="00F7300F" w:rsidP="00F7300F">
      <w:pPr>
        <w:pStyle w:val="ListParagraph"/>
        <w:numPr>
          <w:ilvl w:val="4"/>
          <w:numId w:val="1"/>
        </w:numPr>
        <w:contextualSpacing w:val="0"/>
        <w:rPr>
          <w:rFonts w:asciiTheme="majorHAnsi" w:hAnsiTheme="majorHAnsi" w:cstheme="majorHAnsi"/>
        </w:rPr>
      </w:pPr>
      <w:r w:rsidRPr="00F80721">
        <w:rPr>
          <w:rFonts w:ascii="Cambria Math" w:hAnsi="Cambria Math" w:cs="Cambria Math"/>
          <w:shd w:val="clear" w:color="auto" w:fill="FFFFFF"/>
        </w:rPr>
        <w:t>𝔓</w:t>
      </w:r>
      <w:r w:rsidRPr="00F80721">
        <w:rPr>
          <w:rFonts w:asciiTheme="majorHAnsi" w:hAnsiTheme="majorHAnsi" w:cstheme="majorHAnsi"/>
          <w:shd w:val="clear" w:color="auto" w:fill="FFFFFF"/>
          <w:vertAlign w:val="superscript"/>
        </w:rPr>
        <w:t xml:space="preserve">66 </w:t>
      </w:r>
      <w:r w:rsidRPr="00F80721">
        <w:rPr>
          <w:rFonts w:asciiTheme="majorHAnsi" w:hAnsiTheme="majorHAnsi" w:cstheme="majorHAnsi"/>
          <w:shd w:val="clear" w:color="auto" w:fill="FFFFFF"/>
        </w:rPr>
        <w:t>(~A.D. 200)</w:t>
      </w:r>
    </w:p>
    <w:p w14:paraId="4AE446A0" w14:textId="77777777" w:rsidR="00F7300F" w:rsidRPr="00F80721" w:rsidRDefault="00F7300F" w:rsidP="00F7300F">
      <w:pPr>
        <w:pStyle w:val="ListParagraph"/>
        <w:numPr>
          <w:ilvl w:val="4"/>
          <w:numId w:val="1"/>
        </w:numPr>
        <w:contextualSpacing w:val="0"/>
        <w:rPr>
          <w:rFonts w:asciiTheme="majorHAnsi" w:hAnsiTheme="majorHAnsi" w:cstheme="majorHAnsi"/>
        </w:rPr>
      </w:pPr>
      <w:r w:rsidRPr="00F80721">
        <w:rPr>
          <w:rFonts w:ascii="Cambria Math" w:hAnsi="Cambria Math" w:cs="Cambria Math"/>
          <w:shd w:val="clear" w:color="auto" w:fill="FFFFFF"/>
        </w:rPr>
        <w:t>𝔓</w:t>
      </w:r>
      <w:r w:rsidRPr="00F80721">
        <w:rPr>
          <w:rFonts w:asciiTheme="majorHAnsi" w:hAnsiTheme="majorHAnsi" w:cstheme="majorHAnsi"/>
          <w:shd w:val="clear" w:color="auto" w:fill="FFFFFF"/>
          <w:vertAlign w:val="superscript"/>
        </w:rPr>
        <w:t xml:space="preserve">75 </w:t>
      </w:r>
      <w:r w:rsidRPr="00F80721">
        <w:rPr>
          <w:rFonts w:asciiTheme="majorHAnsi" w:hAnsiTheme="majorHAnsi" w:cstheme="majorHAnsi"/>
        </w:rPr>
        <w:t xml:space="preserve">(~A.D. 200) </w:t>
      </w:r>
    </w:p>
    <w:p w14:paraId="32763B26" w14:textId="77777777" w:rsidR="00F7300F" w:rsidRPr="00F80721" w:rsidRDefault="00F7300F" w:rsidP="00F7300F">
      <w:pPr>
        <w:pStyle w:val="ListParagraph"/>
        <w:numPr>
          <w:ilvl w:val="3"/>
          <w:numId w:val="1"/>
        </w:numPr>
        <w:contextualSpacing w:val="0"/>
        <w:rPr>
          <w:rFonts w:asciiTheme="majorHAnsi" w:hAnsiTheme="majorHAnsi" w:cstheme="majorHAnsi"/>
        </w:rPr>
      </w:pPr>
      <w:r w:rsidRPr="00F80721">
        <w:rPr>
          <w:rFonts w:asciiTheme="majorHAnsi" w:hAnsiTheme="majorHAnsi" w:cstheme="majorHAnsi"/>
        </w:rPr>
        <w:t>Uncials (~A.D. 400-A.D. 800)</w:t>
      </w:r>
    </w:p>
    <w:p w14:paraId="7CC7F52C" w14:textId="77777777" w:rsidR="00F7300F" w:rsidRPr="00F80721" w:rsidRDefault="00F7300F" w:rsidP="00F7300F">
      <w:pPr>
        <w:pStyle w:val="ListParagraph"/>
        <w:numPr>
          <w:ilvl w:val="4"/>
          <w:numId w:val="1"/>
        </w:numPr>
        <w:contextualSpacing w:val="0"/>
        <w:rPr>
          <w:rFonts w:asciiTheme="majorHAnsi" w:hAnsiTheme="majorHAnsi" w:cstheme="majorHAnsi"/>
        </w:rPr>
      </w:pPr>
      <w:r w:rsidRPr="00F80721">
        <w:rPr>
          <w:rFonts w:asciiTheme="majorHAnsi" w:hAnsiTheme="majorHAnsi" w:cstheme="majorHAnsi"/>
          <w:rtl/>
          <w:lang w:bidi="he-IL"/>
        </w:rPr>
        <w:t>א</w:t>
      </w:r>
      <w:r w:rsidRPr="00F80721">
        <w:rPr>
          <w:rFonts w:asciiTheme="majorHAnsi" w:hAnsiTheme="majorHAnsi" w:cstheme="majorHAnsi"/>
        </w:rPr>
        <w:t xml:space="preserve"> (Sinaiticus) (~IV Cent.) </w:t>
      </w:r>
    </w:p>
    <w:p w14:paraId="1E15870E" w14:textId="77777777" w:rsidR="00F7300F" w:rsidRPr="00F80721" w:rsidRDefault="00F7300F" w:rsidP="00F7300F">
      <w:pPr>
        <w:pStyle w:val="ListParagraph"/>
        <w:numPr>
          <w:ilvl w:val="4"/>
          <w:numId w:val="1"/>
        </w:numPr>
        <w:contextualSpacing w:val="0"/>
        <w:rPr>
          <w:rFonts w:asciiTheme="majorHAnsi" w:hAnsiTheme="majorHAnsi" w:cstheme="majorHAnsi"/>
        </w:rPr>
      </w:pPr>
      <w:r w:rsidRPr="00F80721">
        <w:rPr>
          <w:rFonts w:asciiTheme="majorHAnsi" w:hAnsiTheme="majorHAnsi" w:cstheme="majorHAnsi"/>
        </w:rPr>
        <w:t xml:space="preserve">B (Vaticanus) (~IV Cent.) </w:t>
      </w:r>
    </w:p>
    <w:p w14:paraId="3AEAF77B" w14:textId="77777777" w:rsidR="00F7300F" w:rsidRPr="00F80721" w:rsidRDefault="00F7300F" w:rsidP="00F7300F">
      <w:pPr>
        <w:pStyle w:val="ListParagraph"/>
        <w:numPr>
          <w:ilvl w:val="3"/>
          <w:numId w:val="1"/>
        </w:numPr>
        <w:contextualSpacing w:val="0"/>
        <w:rPr>
          <w:rFonts w:asciiTheme="majorHAnsi" w:hAnsiTheme="majorHAnsi" w:cstheme="majorHAnsi"/>
        </w:rPr>
      </w:pPr>
      <w:r w:rsidRPr="00F80721">
        <w:rPr>
          <w:rFonts w:asciiTheme="majorHAnsi" w:hAnsiTheme="majorHAnsi" w:cstheme="majorHAnsi"/>
        </w:rPr>
        <w:t>Minuscules (~A.D. 800 - 1300).</w:t>
      </w:r>
    </w:p>
    <w:p w14:paraId="632509E4" w14:textId="77777777" w:rsidR="00F7300F" w:rsidRPr="00F80721" w:rsidRDefault="00F7300F" w:rsidP="00F7300F">
      <w:pPr>
        <w:pStyle w:val="ListParagraph"/>
        <w:numPr>
          <w:ilvl w:val="2"/>
          <w:numId w:val="1"/>
        </w:numPr>
        <w:contextualSpacing w:val="0"/>
        <w:rPr>
          <w:rFonts w:asciiTheme="majorHAnsi" w:hAnsiTheme="majorHAnsi" w:cstheme="majorHAnsi"/>
        </w:rPr>
      </w:pPr>
      <w:r w:rsidRPr="00F80721">
        <w:rPr>
          <w:rFonts w:asciiTheme="majorHAnsi" w:hAnsiTheme="majorHAnsi" w:cstheme="majorHAnsi"/>
        </w:rPr>
        <w:t xml:space="preserve">Translations into ancient languages (Old Latin, Coptic, Syrian, Armenian, Georgian, etc.) </w:t>
      </w:r>
    </w:p>
    <w:p w14:paraId="1EF9525C" w14:textId="77777777" w:rsidR="00F7300F" w:rsidRPr="00F80721" w:rsidRDefault="00F7300F" w:rsidP="00F7300F">
      <w:pPr>
        <w:pStyle w:val="ListParagraph"/>
        <w:numPr>
          <w:ilvl w:val="2"/>
          <w:numId w:val="1"/>
        </w:numPr>
        <w:contextualSpacing w:val="0"/>
        <w:rPr>
          <w:rFonts w:asciiTheme="majorHAnsi" w:hAnsiTheme="majorHAnsi" w:cstheme="majorHAnsi"/>
        </w:rPr>
      </w:pPr>
      <w:r w:rsidRPr="00F80721">
        <w:rPr>
          <w:rFonts w:asciiTheme="majorHAnsi" w:hAnsiTheme="majorHAnsi" w:cstheme="majorHAnsi"/>
        </w:rPr>
        <w:t xml:space="preserve">Quotations by early Church Fathers </w:t>
      </w:r>
    </w:p>
    <w:p w14:paraId="5DD967CA" w14:textId="77777777" w:rsidR="00F7300F" w:rsidRDefault="00F7300F" w:rsidP="00F7300F">
      <w:pPr>
        <w:pStyle w:val="ListParagraph"/>
        <w:ind w:left="2160"/>
        <w:contextualSpacing w:val="0"/>
        <w:rPr>
          <w:rFonts w:asciiTheme="majorHAnsi" w:hAnsiTheme="majorHAnsi" w:cstheme="majorHAnsi"/>
          <w:i/>
          <w:iCs/>
        </w:rPr>
      </w:pPr>
      <w:r w:rsidRPr="00F80721">
        <w:rPr>
          <w:rFonts w:asciiTheme="majorHAnsi" w:hAnsiTheme="majorHAnsi" w:cstheme="majorHAnsi"/>
          <w:i/>
          <w:iCs/>
        </w:rPr>
        <w:t>“If all other sources for our knowledge of the text of the New Testament were destroyed, they [the Patristic quotations] would be sufficient alone for the reconstruction of practically the entire New Testament.” (Metzger)</w:t>
      </w:r>
    </w:p>
    <w:p w14:paraId="786F9E73" w14:textId="77777777" w:rsidR="00F7300F" w:rsidRPr="00F80721" w:rsidRDefault="00F7300F" w:rsidP="00F7300F">
      <w:pPr>
        <w:pStyle w:val="ListParagraph"/>
        <w:ind w:left="2160"/>
        <w:contextualSpacing w:val="0"/>
        <w:rPr>
          <w:rFonts w:asciiTheme="majorHAnsi" w:hAnsiTheme="majorHAnsi" w:cstheme="majorHAnsi"/>
          <w:i/>
          <w:iCs/>
        </w:rPr>
      </w:pPr>
    </w:p>
    <w:p w14:paraId="6D1E9B75" w14:textId="77777777" w:rsidR="00F7300F" w:rsidRPr="00F80721" w:rsidRDefault="00F7300F" w:rsidP="00F7300F">
      <w:pPr>
        <w:pStyle w:val="ListParagraph"/>
        <w:numPr>
          <w:ilvl w:val="1"/>
          <w:numId w:val="1"/>
        </w:numPr>
        <w:contextualSpacing w:val="0"/>
        <w:rPr>
          <w:rFonts w:asciiTheme="majorHAnsi" w:hAnsiTheme="majorHAnsi" w:cstheme="majorHAnsi"/>
        </w:rPr>
      </w:pPr>
      <w:r w:rsidRPr="00F80721">
        <w:rPr>
          <w:rFonts w:asciiTheme="majorHAnsi" w:hAnsiTheme="majorHAnsi" w:cstheme="majorHAnsi"/>
        </w:rPr>
        <w:t>The basics of textual criticism</w:t>
      </w:r>
    </w:p>
    <w:p w14:paraId="4A3ED71B" w14:textId="77777777" w:rsidR="00F7300F" w:rsidRPr="00F80721" w:rsidRDefault="00F7300F" w:rsidP="00F7300F">
      <w:pPr>
        <w:pStyle w:val="ListParagraph"/>
        <w:numPr>
          <w:ilvl w:val="2"/>
          <w:numId w:val="1"/>
        </w:numPr>
        <w:contextualSpacing w:val="0"/>
        <w:rPr>
          <w:rFonts w:asciiTheme="majorHAnsi" w:hAnsiTheme="majorHAnsi" w:cstheme="majorHAnsi"/>
        </w:rPr>
      </w:pPr>
      <w:r w:rsidRPr="00F80721">
        <w:rPr>
          <w:rFonts w:asciiTheme="majorHAnsi" w:hAnsiTheme="majorHAnsi" w:cstheme="majorHAnsi"/>
        </w:rPr>
        <w:t>External evidence must be weighed</w:t>
      </w:r>
    </w:p>
    <w:p w14:paraId="67CF0D88" w14:textId="77777777" w:rsidR="00F7300F" w:rsidRPr="00F80721" w:rsidRDefault="00F7300F" w:rsidP="00F7300F">
      <w:pPr>
        <w:pStyle w:val="ListParagraph"/>
        <w:numPr>
          <w:ilvl w:val="3"/>
          <w:numId w:val="1"/>
        </w:numPr>
        <w:contextualSpacing w:val="0"/>
        <w:rPr>
          <w:rFonts w:asciiTheme="majorHAnsi" w:hAnsiTheme="majorHAnsi" w:cstheme="majorHAnsi"/>
        </w:rPr>
      </w:pPr>
      <w:r w:rsidRPr="00F80721">
        <w:rPr>
          <w:rFonts w:asciiTheme="majorHAnsi" w:hAnsiTheme="majorHAnsi" w:cstheme="majorHAnsi"/>
        </w:rPr>
        <w:t>The date of the witness</w:t>
      </w:r>
    </w:p>
    <w:p w14:paraId="0D471BBC" w14:textId="77777777" w:rsidR="00F7300F" w:rsidRPr="00F80721" w:rsidRDefault="00F7300F" w:rsidP="00F7300F">
      <w:pPr>
        <w:pStyle w:val="ListParagraph"/>
        <w:numPr>
          <w:ilvl w:val="3"/>
          <w:numId w:val="1"/>
        </w:numPr>
        <w:contextualSpacing w:val="0"/>
        <w:rPr>
          <w:rFonts w:asciiTheme="majorHAnsi" w:hAnsiTheme="majorHAnsi" w:cstheme="majorHAnsi"/>
        </w:rPr>
      </w:pPr>
      <w:r w:rsidRPr="00F80721">
        <w:rPr>
          <w:rFonts w:asciiTheme="majorHAnsi" w:hAnsiTheme="majorHAnsi" w:cstheme="majorHAnsi"/>
        </w:rPr>
        <w:t>The families of witnesses or text types</w:t>
      </w:r>
    </w:p>
    <w:p w14:paraId="7BFFC267" w14:textId="77777777" w:rsidR="00F7300F" w:rsidRPr="00F80721" w:rsidRDefault="00F7300F" w:rsidP="00F7300F">
      <w:pPr>
        <w:pStyle w:val="ListParagraph"/>
        <w:numPr>
          <w:ilvl w:val="3"/>
          <w:numId w:val="1"/>
        </w:numPr>
        <w:contextualSpacing w:val="0"/>
        <w:rPr>
          <w:rFonts w:asciiTheme="majorHAnsi" w:hAnsiTheme="majorHAnsi" w:cstheme="majorHAnsi"/>
        </w:rPr>
      </w:pPr>
      <w:r w:rsidRPr="00F80721">
        <w:rPr>
          <w:rFonts w:asciiTheme="majorHAnsi" w:hAnsiTheme="majorHAnsi" w:cstheme="majorHAnsi"/>
        </w:rPr>
        <w:t>The geographical distribution</w:t>
      </w:r>
    </w:p>
    <w:p w14:paraId="1DD1D1B8" w14:textId="77777777" w:rsidR="00F7300F" w:rsidRDefault="00F7300F" w:rsidP="00F7300F">
      <w:pPr>
        <w:pStyle w:val="ListParagraph"/>
        <w:numPr>
          <w:ilvl w:val="2"/>
          <w:numId w:val="1"/>
        </w:numPr>
        <w:contextualSpacing w:val="0"/>
        <w:rPr>
          <w:rFonts w:asciiTheme="majorHAnsi" w:hAnsiTheme="majorHAnsi" w:cstheme="majorHAnsi"/>
        </w:rPr>
      </w:pPr>
      <w:r w:rsidRPr="00F80721">
        <w:rPr>
          <w:rFonts w:asciiTheme="majorHAnsi" w:hAnsiTheme="majorHAnsi" w:cstheme="majorHAnsi"/>
        </w:rPr>
        <w:t>Internal evidence must be weighed (vocabulary of an author, grammar and syntax, and context of a passage)</w:t>
      </w:r>
    </w:p>
    <w:p w14:paraId="156753B1" w14:textId="77777777" w:rsidR="00F7300F" w:rsidRPr="00F80721" w:rsidRDefault="00F7300F" w:rsidP="00F7300F">
      <w:pPr>
        <w:pStyle w:val="ListParagraph"/>
        <w:ind w:left="1440"/>
        <w:contextualSpacing w:val="0"/>
        <w:rPr>
          <w:rFonts w:asciiTheme="majorHAnsi" w:hAnsiTheme="majorHAnsi" w:cstheme="majorHAnsi"/>
        </w:rPr>
      </w:pPr>
    </w:p>
    <w:p w14:paraId="38026A98" w14:textId="77777777" w:rsidR="00F7300F" w:rsidRPr="00F80721" w:rsidRDefault="00F7300F" w:rsidP="00F7300F">
      <w:pPr>
        <w:pStyle w:val="ListParagraph"/>
        <w:numPr>
          <w:ilvl w:val="1"/>
          <w:numId w:val="1"/>
        </w:numPr>
        <w:contextualSpacing w:val="0"/>
        <w:rPr>
          <w:rFonts w:asciiTheme="majorHAnsi" w:hAnsiTheme="majorHAnsi" w:cstheme="majorHAnsi"/>
        </w:rPr>
      </w:pPr>
      <w:r w:rsidRPr="00F80721">
        <w:rPr>
          <w:rFonts w:asciiTheme="majorHAnsi" w:hAnsiTheme="majorHAnsi" w:cstheme="majorHAnsi"/>
        </w:rPr>
        <w:lastRenderedPageBreak/>
        <w:t>Summary points</w:t>
      </w:r>
    </w:p>
    <w:p w14:paraId="4FC01306" w14:textId="77777777" w:rsidR="00F7300F" w:rsidRPr="00F80721" w:rsidRDefault="00F7300F" w:rsidP="00F7300F">
      <w:pPr>
        <w:pStyle w:val="ListParagraph"/>
        <w:numPr>
          <w:ilvl w:val="2"/>
          <w:numId w:val="1"/>
        </w:numPr>
        <w:contextualSpacing w:val="0"/>
        <w:rPr>
          <w:rFonts w:asciiTheme="majorHAnsi" w:hAnsiTheme="majorHAnsi" w:cstheme="majorHAnsi"/>
        </w:rPr>
      </w:pPr>
      <w:r w:rsidRPr="00F80721">
        <w:rPr>
          <w:rFonts w:asciiTheme="majorHAnsi" w:hAnsiTheme="majorHAnsi" w:cstheme="majorHAnsi"/>
        </w:rPr>
        <w:t>There exists no discrepancy which affects a single point of doctrine.</w:t>
      </w:r>
    </w:p>
    <w:p w14:paraId="16A6A3CD" w14:textId="77777777" w:rsidR="00F7300F" w:rsidRPr="00F80721" w:rsidRDefault="00F7300F" w:rsidP="00F7300F">
      <w:pPr>
        <w:pStyle w:val="ListParagraph"/>
        <w:numPr>
          <w:ilvl w:val="2"/>
          <w:numId w:val="1"/>
        </w:numPr>
        <w:contextualSpacing w:val="0"/>
        <w:rPr>
          <w:rFonts w:asciiTheme="majorHAnsi" w:hAnsiTheme="majorHAnsi" w:cstheme="majorHAnsi"/>
        </w:rPr>
      </w:pPr>
      <w:r w:rsidRPr="00F80721">
        <w:rPr>
          <w:rFonts w:asciiTheme="majorHAnsi" w:hAnsiTheme="majorHAnsi" w:cstheme="majorHAnsi"/>
        </w:rPr>
        <w:t>The large majority of the text of the NT is the same. The variants usually concern individual words, spellings, or phrases.</w:t>
      </w:r>
    </w:p>
    <w:p w14:paraId="11E6A20D" w14:textId="77777777" w:rsidR="00F7300F" w:rsidRPr="00F80721" w:rsidRDefault="00F7300F" w:rsidP="00F7300F">
      <w:pPr>
        <w:pStyle w:val="ListParagraph"/>
        <w:numPr>
          <w:ilvl w:val="2"/>
          <w:numId w:val="1"/>
        </w:numPr>
        <w:contextualSpacing w:val="0"/>
        <w:rPr>
          <w:rFonts w:asciiTheme="majorHAnsi" w:hAnsiTheme="majorHAnsi" w:cstheme="majorHAnsi"/>
        </w:rPr>
      </w:pPr>
      <w:r w:rsidRPr="00F80721">
        <w:rPr>
          <w:rFonts w:asciiTheme="majorHAnsi" w:hAnsiTheme="majorHAnsi" w:cstheme="majorHAnsi"/>
        </w:rPr>
        <w:t>The best reading is often very obvious when weighing the evidence.</w:t>
      </w:r>
    </w:p>
    <w:p w14:paraId="57E39780" w14:textId="77777777" w:rsidR="00F7300F" w:rsidRPr="00F80721" w:rsidRDefault="00F7300F" w:rsidP="00F7300F">
      <w:pPr>
        <w:pStyle w:val="ListParagraph"/>
        <w:numPr>
          <w:ilvl w:val="2"/>
          <w:numId w:val="1"/>
        </w:numPr>
        <w:contextualSpacing w:val="0"/>
        <w:rPr>
          <w:rFonts w:asciiTheme="majorHAnsi" w:hAnsiTheme="majorHAnsi" w:cstheme="majorHAnsi"/>
        </w:rPr>
      </w:pPr>
      <w:r w:rsidRPr="00F80721">
        <w:rPr>
          <w:rFonts w:asciiTheme="majorHAnsi" w:hAnsiTheme="majorHAnsi" w:cstheme="majorHAnsi"/>
        </w:rPr>
        <w:t>In those rare cases in which there is no strong consensus, the variant changes nothing of any doctrinal significance.</w:t>
      </w:r>
    </w:p>
    <w:p w14:paraId="5137EDFA" w14:textId="77777777" w:rsidR="00F7300F" w:rsidRPr="00F80721" w:rsidRDefault="00F7300F" w:rsidP="00F7300F">
      <w:pPr>
        <w:pStyle w:val="ListParagraph"/>
        <w:ind w:left="2160"/>
        <w:contextualSpacing w:val="0"/>
        <w:rPr>
          <w:rFonts w:asciiTheme="majorHAnsi" w:hAnsiTheme="majorHAnsi" w:cstheme="majorHAnsi"/>
          <w:i/>
          <w:iCs/>
        </w:rPr>
      </w:pPr>
      <w:r w:rsidRPr="00F80721">
        <w:rPr>
          <w:rFonts w:asciiTheme="majorHAnsi" w:hAnsiTheme="majorHAnsi" w:cstheme="majorHAnsi"/>
          <w:i/>
          <w:iCs/>
        </w:rPr>
        <w:t>“For over 99 percent of the words of the Bible, we know what the original manuscript said. Even for many of the verses where there are textual variants…the correct decision is often quite clear, and there are really very few places where the textual variant is both difficult to evaluate and significant in determining the meaning.” (Grudem)</w:t>
      </w:r>
    </w:p>
    <w:p w14:paraId="69B17FE9" w14:textId="77777777" w:rsidR="00F7300F" w:rsidRDefault="00F7300F" w:rsidP="00F7300F">
      <w:pPr>
        <w:pStyle w:val="ListParagraph"/>
        <w:ind w:left="2160"/>
        <w:contextualSpacing w:val="0"/>
        <w:rPr>
          <w:rFonts w:asciiTheme="majorHAnsi" w:hAnsiTheme="majorHAnsi" w:cstheme="majorHAnsi"/>
          <w:i/>
          <w:iCs/>
        </w:rPr>
      </w:pPr>
      <w:r w:rsidRPr="00F80721">
        <w:rPr>
          <w:rFonts w:asciiTheme="majorHAnsi" w:hAnsiTheme="majorHAnsi" w:cstheme="majorHAnsi"/>
          <w:i/>
          <w:iCs/>
        </w:rPr>
        <w:t>"We deny that any essential element of the Christian faith is affected by the absence of the autographs. We further deny that this absence renders the assertion of Biblical inerrancy invalid or irrelevant.” (The Chicago Statement on Biblical Inerrancy, Article X)</w:t>
      </w:r>
    </w:p>
    <w:p w14:paraId="598503A8" w14:textId="77777777" w:rsidR="00F7300F" w:rsidRPr="00562960" w:rsidRDefault="00F7300F" w:rsidP="00F7300F">
      <w:pPr>
        <w:rPr>
          <w:rFonts w:asciiTheme="majorHAnsi" w:hAnsiTheme="majorHAnsi" w:cstheme="majorHAnsi"/>
          <w:i/>
          <w:iCs/>
        </w:rPr>
      </w:pPr>
    </w:p>
    <w:p w14:paraId="5EEA2117" w14:textId="77777777" w:rsidR="00F7300F" w:rsidRPr="00F80721" w:rsidRDefault="00F7300F" w:rsidP="00F7300F">
      <w:pPr>
        <w:pStyle w:val="ListParagraph"/>
        <w:numPr>
          <w:ilvl w:val="0"/>
          <w:numId w:val="1"/>
        </w:numPr>
        <w:contextualSpacing w:val="0"/>
        <w:rPr>
          <w:rFonts w:asciiTheme="majorHAnsi" w:hAnsiTheme="majorHAnsi" w:cstheme="majorHAnsi"/>
        </w:rPr>
      </w:pPr>
      <w:r w:rsidRPr="00F80721">
        <w:rPr>
          <w:rFonts w:asciiTheme="majorHAnsi" w:hAnsiTheme="majorHAnsi" w:cstheme="majorHAnsi"/>
        </w:rPr>
        <w:t>Textual Criticism and This Passage (6 Reasons for Not Affirming this Passage as Original)</w:t>
      </w:r>
    </w:p>
    <w:p w14:paraId="5704601F" w14:textId="77777777" w:rsidR="00F7300F" w:rsidRPr="00F80721" w:rsidRDefault="00F7300F" w:rsidP="00F7300F">
      <w:pPr>
        <w:pStyle w:val="ListParagraph"/>
        <w:numPr>
          <w:ilvl w:val="1"/>
          <w:numId w:val="1"/>
        </w:numPr>
        <w:contextualSpacing w:val="0"/>
        <w:rPr>
          <w:rFonts w:asciiTheme="majorHAnsi" w:hAnsiTheme="majorHAnsi" w:cstheme="majorHAnsi"/>
        </w:rPr>
      </w:pPr>
      <w:r w:rsidRPr="00F80721">
        <w:rPr>
          <w:rFonts w:asciiTheme="majorHAnsi" w:hAnsiTheme="majorHAnsi" w:cstheme="majorHAnsi"/>
        </w:rPr>
        <w:t>It is lacking in the best Greek manuscripts (those of the earliest date and the best text family).</w:t>
      </w:r>
    </w:p>
    <w:p w14:paraId="5DE86D43" w14:textId="77777777" w:rsidR="00F7300F" w:rsidRPr="00562960" w:rsidRDefault="00F7300F" w:rsidP="00F7300F">
      <w:pPr>
        <w:pStyle w:val="ListParagraph"/>
        <w:ind w:left="1440"/>
        <w:contextualSpacing w:val="0"/>
        <w:rPr>
          <w:rFonts w:asciiTheme="majorHAnsi" w:hAnsiTheme="majorHAnsi" w:cstheme="majorHAnsi"/>
          <w:i/>
          <w:iCs/>
        </w:rPr>
      </w:pPr>
      <w:r w:rsidRPr="00F80721">
        <w:rPr>
          <w:rFonts w:asciiTheme="majorHAnsi" w:hAnsiTheme="majorHAnsi" w:cstheme="majorHAnsi"/>
          <w:i/>
          <w:iCs/>
        </w:rPr>
        <w:t>“One would hardly expect so many early manuscripts to omit such an important story about Jesus were it in their text.” (Keener)</w:t>
      </w:r>
    </w:p>
    <w:p w14:paraId="38B481AD" w14:textId="77777777" w:rsidR="00F7300F" w:rsidRPr="00562960" w:rsidRDefault="00F7300F" w:rsidP="00F7300F">
      <w:pPr>
        <w:pStyle w:val="ListParagraph"/>
        <w:numPr>
          <w:ilvl w:val="1"/>
          <w:numId w:val="1"/>
        </w:numPr>
        <w:contextualSpacing w:val="0"/>
        <w:rPr>
          <w:rFonts w:asciiTheme="majorHAnsi" w:hAnsiTheme="majorHAnsi" w:cstheme="majorHAnsi"/>
          <w:i/>
          <w:iCs/>
        </w:rPr>
      </w:pPr>
      <w:r w:rsidRPr="00F80721">
        <w:rPr>
          <w:rFonts w:asciiTheme="majorHAnsi" w:hAnsiTheme="majorHAnsi" w:cstheme="majorHAnsi"/>
          <w:i/>
          <w:iCs/>
        </w:rPr>
        <w:t>“No Greek Church Father prior to… (the twelfth century) comments on the passage, and [the one who does] declares that the accurate copies of the Gospel do not contain it.” (Metzger)</w:t>
      </w:r>
    </w:p>
    <w:p w14:paraId="7FDF979F" w14:textId="77777777" w:rsidR="00F7300F" w:rsidRPr="00562960" w:rsidRDefault="00F7300F" w:rsidP="00F7300F">
      <w:pPr>
        <w:pStyle w:val="ListParagraph"/>
        <w:numPr>
          <w:ilvl w:val="1"/>
          <w:numId w:val="1"/>
        </w:numPr>
        <w:contextualSpacing w:val="0"/>
        <w:rPr>
          <w:rFonts w:asciiTheme="majorHAnsi" w:hAnsiTheme="majorHAnsi" w:cstheme="majorHAnsi"/>
        </w:rPr>
      </w:pPr>
      <w:r w:rsidRPr="00F80721">
        <w:rPr>
          <w:rFonts w:asciiTheme="majorHAnsi" w:hAnsiTheme="majorHAnsi" w:cstheme="majorHAnsi"/>
        </w:rPr>
        <w:t>It is missing in many of the early translation into other languages (Syriac, Coptic, and some Old Latin translations).</w:t>
      </w:r>
    </w:p>
    <w:p w14:paraId="3FC89D6E" w14:textId="77777777" w:rsidR="00F7300F" w:rsidRPr="00562960" w:rsidRDefault="00F7300F" w:rsidP="00F7300F">
      <w:pPr>
        <w:pStyle w:val="ListParagraph"/>
        <w:numPr>
          <w:ilvl w:val="1"/>
          <w:numId w:val="1"/>
        </w:numPr>
        <w:contextualSpacing w:val="0"/>
        <w:rPr>
          <w:rFonts w:asciiTheme="majorHAnsi" w:hAnsiTheme="majorHAnsi" w:cstheme="majorHAnsi"/>
        </w:rPr>
      </w:pPr>
      <w:r w:rsidRPr="00F80721">
        <w:rPr>
          <w:rFonts w:asciiTheme="majorHAnsi" w:hAnsiTheme="majorHAnsi" w:cstheme="majorHAnsi"/>
        </w:rPr>
        <w:t>This story has floated around in various places before finally settling here (sometimes in John 7:36, 44; 21:25; Luke 21:38).</w:t>
      </w:r>
    </w:p>
    <w:p w14:paraId="0E4C69BE" w14:textId="77777777" w:rsidR="00F7300F" w:rsidRPr="00562960" w:rsidRDefault="00F7300F" w:rsidP="00F7300F">
      <w:pPr>
        <w:pStyle w:val="ListParagraph"/>
        <w:numPr>
          <w:ilvl w:val="1"/>
          <w:numId w:val="1"/>
        </w:numPr>
        <w:contextualSpacing w:val="0"/>
        <w:rPr>
          <w:rFonts w:asciiTheme="majorHAnsi" w:hAnsiTheme="majorHAnsi" w:cstheme="majorHAnsi"/>
        </w:rPr>
      </w:pPr>
      <w:r w:rsidRPr="00F80721">
        <w:rPr>
          <w:rFonts w:asciiTheme="majorHAnsi" w:hAnsiTheme="majorHAnsi" w:cstheme="majorHAnsi"/>
        </w:rPr>
        <w:t>It abruptly interrupts the passage which flows from 7:52 directly into 8:12.</w:t>
      </w:r>
    </w:p>
    <w:p w14:paraId="24815D44" w14:textId="77777777" w:rsidR="00F7300F" w:rsidRPr="00F80721" w:rsidRDefault="00F7300F" w:rsidP="00F7300F">
      <w:pPr>
        <w:pStyle w:val="ListParagraph"/>
        <w:numPr>
          <w:ilvl w:val="1"/>
          <w:numId w:val="1"/>
        </w:numPr>
        <w:contextualSpacing w:val="0"/>
        <w:rPr>
          <w:rFonts w:asciiTheme="majorHAnsi" w:hAnsiTheme="majorHAnsi" w:cstheme="majorHAnsi"/>
        </w:rPr>
      </w:pPr>
      <w:r w:rsidRPr="00F80721">
        <w:rPr>
          <w:rFonts w:asciiTheme="majorHAnsi" w:hAnsiTheme="majorHAnsi" w:cstheme="majorHAnsi"/>
        </w:rPr>
        <w:t>The style and vocabulary differ greatly from John’s.</w:t>
      </w:r>
    </w:p>
    <w:p w14:paraId="11E3B8DF" w14:textId="77777777" w:rsidR="00F7300F" w:rsidRPr="00F80721" w:rsidRDefault="00F7300F" w:rsidP="00F7300F">
      <w:pPr>
        <w:rPr>
          <w:rFonts w:asciiTheme="majorHAnsi" w:hAnsiTheme="majorHAnsi" w:cstheme="majorHAnsi"/>
        </w:rPr>
      </w:pPr>
    </w:p>
    <w:p w14:paraId="6837FB35" w14:textId="77777777" w:rsidR="00F7300F" w:rsidRDefault="00F7300F" w:rsidP="00F7300F">
      <w:pPr>
        <w:jc w:val="center"/>
        <w:rPr>
          <w:rFonts w:asciiTheme="majorHAnsi" w:hAnsiTheme="majorHAnsi" w:cstheme="majorHAnsi"/>
        </w:rPr>
      </w:pPr>
    </w:p>
    <w:p w14:paraId="46AD02EF" w14:textId="77777777" w:rsidR="00F7300F" w:rsidRPr="00F80721" w:rsidRDefault="00F7300F" w:rsidP="00F7300F">
      <w:pPr>
        <w:jc w:val="center"/>
        <w:rPr>
          <w:rFonts w:asciiTheme="majorHAnsi" w:hAnsiTheme="majorHAnsi" w:cstheme="majorHAnsi"/>
        </w:rPr>
      </w:pPr>
    </w:p>
    <w:p w14:paraId="76566D21" w14:textId="77777777" w:rsidR="00F7300F" w:rsidRPr="0080378B" w:rsidRDefault="00F7300F" w:rsidP="00F7300F">
      <w:pPr>
        <w:jc w:val="center"/>
        <w:rPr>
          <w:rFonts w:asciiTheme="majorHAnsi" w:hAnsiTheme="majorHAnsi" w:cstheme="majorHAnsi"/>
          <w:i/>
          <w:iCs/>
          <w:u w:val="single"/>
        </w:rPr>
      </w:pPr>
      <w:r w:rsidRPr="0080378B">
        <w:rPr>
          <w:rFonts w:asciiTheme="majorHAnsi" w:hAnsiTheme="majorHAnsi" w:cstheme="majorHAnsi"/>
          <w:i/>
          <w:iCs/>
          <w:u w:val="single"/>
        </w:rPr>
        <w:lastRenderedPageBreak/>
        <w:t xml:space="preserve">Three Magnificent Statements </w:t>
      </w:r>
      <w:r>
        <w:rPr>
          <w:rFonts w:asciiTheme="majorHAnsi" w:hAnsiTheme="majorHAnsi" w:cstheme="majorHAnsi"/>
          <w:i/>
          <w:iCs/>
          <w:u w:val="single"/>
        </w:rPr>
        <w:t>Which Display t</w:t>
      </w:r>
      <w:r w:rsidRPr="0080378B">
        <w:rPr>
          <w:rFonts w:asciiTheme="majorHAnsi" w:hAnsiTheme="majorHAnsi" w:cstheme="majorHAnsi"/>
          <w:i/>
          <w:iCs/>
          <w:u w:val="single"/>
        </w:rPr>
        <w:t xml:space="preserve">he Glory of Christ in </w:t>
      </w:r>
      <w:r>
        <w:rPr>
          <w:rFonts w:asciiTheme="majorHAnsi" w:hAnsiTheme="majorHAnsi" w:cstheme="majorHAnsi"/>
          <w:i/>
          <w:iCs/>
          <w:u w:val="single"/>
        </w:rPr>
        <w:t>t</w:t>
      </w:r>
      <w:r w:rsidRPr="0080378B">
        <w:rPr>
          <w:rFonts w:asciiTheme="majorHAnsi" w:hAnsiTheme="majorHAnsi" w:cstheme="majorHAnsi"/>
          <w:i/>
          <w:iCs/>
          <w:u w:val="single"/>
        </w:rPr>
        <w:t xml:space="preserve">he Story of The Adulterous Woman </w:t>
      </w:r>
    </w:p>
    <w:p w14:paraId="6CA570D0" w14:textId="77777777" w:rsidR="00F7300F" w:rsidRDefault="00F7300F" w:rsidP="00F7300F">
      <w:pPr>
        <w:jc w:val="center"/>
        <w:rPr>
          <w:rFonts w:asciiTheme="majorHAnsi" w:hAnsiTheme="majorHAnsi" w:cstheme="majorHAnsi"/>
        </w:rPr>
      </w:pPr>
    </w:p>
    <w:p w14:paraId="21E5D613" w14:textId="77777777" w:rsidR="00F7300F" w:rsidRDefault="00F7300F" w:rsidP="00F7300F">
      <w:pPr>
        <w:pStyle w:val="ListParagraph"/>
        <w:numPr>
          <w:ilvl w:val="0"/>
          <w:numId w:val="2"/>
        </w:numPr>
        <w:contextualSpacing w:val="0"/>
        <w:rPr>
          <w:rFonts w:asciiTheme="majorHAnsi" w:hAnsiTheme="majorHAnsi" w:cstheme="majorHAnsi"/>
        </w:rPr>
      </w:pPr>
      <w:r>
        <w:rPr>
          <w:rFonts w:asciiTheme="majorHAnsi" w:hAnsiTheme="majorHAnsi" w:cstheme="majorHAnsi"/>
        </w:rPr>
        <w:t>The display of the glory of Christ’s wisdom (vv.6-8; cf. Deut. 22:22-24; Deut. 13:9; 17:7)</w:t>
      </w:r>
    </w:p>
    <w:p w14:paraId="095249C8" w14:textId="67AC75E8" w:rsidR="00F7300F" w:rsidRDefault="00F7300F" w:rsidP="00F7300F">
      <w:pPr>
        <w:pStyle w:val="ListParagraph"/>
        <w:contextualSpacing w:val="0"/>
        <w:rPr>
          <w:rFonts w:asciiTheme="majorHAnsi" w:hAnsiTheme="majorHAnsi" w:cstheme="majorHAnsi"/>
          <w:i/>
          <w:iCs/>
        </w:rPr>
      </w:pPr>
      <w:r>
        <w:rPr>
          <w:rFonts w:asciiTheme="majorHAnsi" w:hAnsiTheme="majorHAnsi" w:cstheme="majorHAnsi"/>
          <w:i/>
          <w:iCs/>
        </w:rPr>
        <w:t>“</w:t>
      </w:r>
      <w:r w:rsidRPr="0048193C">
        <w:rPr>
          <w:rFonts w:asciiTheme="majorHAnsi" w:hAnsiTheme="majorHAnsi" w:cstheme="majorHAnsi"/>
          <w:i/>
          <w:iCs/>
        </w:rPr>
        <w:t>But by designating as the first the one “who is without sin,” Jesus faces them with the full and final seriousness of the law, not so as to lay down conditions that would make all human administration of justice impossible, but in order to confront all who, ignoring their own sin, want to judge and condemn others without mercy, to confront such judges with what awaits them if the heavenly judge should some day judge them by the same standard (cf. Mt. 7:1ff).” (Herm</w:t>
      </w:r>
      <w:r w:rsidR="0091152F">
        <w:rPr>
          <w:rFonts w:asciiTheme="majorHAnsi" w:hAnsiTheme="majorHAnsi" w:cstheme="majorHAnsi"/>
          <w:i/>
          <w:iCs/>
        </w:rPr>
        <w:t>a</w:t>
      </w:r>
      <w:r w:rsidRPr="0048193C">
        <w:rPr>
          <w:rFonts w:asciiTheme="majorHAnsi" w:hAnsiTheme="majorHAnsi" w:cstheme="majorHAnsi"/>
          <w:i/>
          <w:iCs/>
        </w:rPr>
        <w:t>n Ridderbos)</w:t>
      </w:r>
    </w:p>
    <w:p w14:paraId="34E53DF2" w14:textId="77777777" w:rsidR="00F7300F" w:rsidRDefault="00F7300F" w:rsidP="00F7300F">
      <w:pPr>
        <w:pStyle w:val="ListParagraph"/>
        <w:contextualSpacing w:val="0"/>
        <w:rPr>
          <w:rFonts w:asciiTheme="majorHAnsi" w:hAnsiTheme="majorHAnsi" w:cstheme="majorHAnsi"/>
          <w:i/>
          <w:iCs/>
        </w:rPr>
      </w:pPr>
    </w:p>
    <w:p w14:paraId="598640E8" w14:textId="77777777" w:rsidR="00F7300F" w:rsidRDefault="00F7300F" w:rsidP="00F7300F">
      <w:pPr>
        <w:pStyle w:val="ListParagraph"/>
        <w:contextualSpacing w:val="0"/>
        <w:rPr>
          <w:rFonts w:asciiTheme="majorHAnsi" w:hAnsiTheme="majorHAnsi" w:cstheme="majorHAnsi"/>
        </w:rPr>
      </w:pPr>
      <w:r>
        <w:rPr>
          <w:rFonts w:asciiTheme="majorHAnsi" w:hAnsiTheme="majorHAnsi" w:cstheme="majorHAnsi"/>
          <w:i/>
          <w:iCs/>
        </w:rPr>
        <w:t>“</w:t>
      </w:r>
      <w:r w:rsidRPr="000275B6">
        <w:rPr>
          <w:rFonts w:asciiTheme="majorHAnsi" w:hAnsiTheme="majorHAnsi" w:cstheme="majorHAnsi"/>
          <w:i/>
          <w:iCs/>
        </w:rPr>
        <w:t>Judgment is without mercy to one who has shown no mercy</w:t>
      </w:r>
      <w:r>
        <w:rPr>
          <w:rFonts w:asciiTheme="majorHAnsi" w:hAnsiTheme="majorHAnsi" w:cstheme="majorHAnsi"/>
          <w:i/>
          <w:iCs/>
        </w:rPr>
        <w:t>”</w:t>
      </w:r>
      <w:r>
        <w:rPr>
          <w:rFonts w:asciiTheme="majorHAnsi" w:hAnsiTheme="majorHAnsi" w:cstheme="majorHAnsi"/>
        </w:rPr>
        <w:t xml:space="preserve"> (James 2:13).</w:t>
      </w:r>
    </w:p>
    <w:p w14:paraId="0E74F5E0" w14:textId="77777777" w:rsidR="00F7300F" w:rsidRDefault="00F7300F" w:rsidP="00F7300F">
      <w:pPr>
        <w:pStyle w:val="ListParagraph"/>
        <w:contextualSpacing w:val="0"/>
        <w:rPr>
          <w:rFonts w:asciiTheme="majorHAnsi" w:hAnsiTheme="majorHAnsi" w:cstheme="majorHAnsi"/>
        </w:rPr>
      </w:pPr>
    </w:p>
    <w:p w14:paraId="380953F0" w14:textId="77777777" w:rsidR="00F7300F" w:rsidRPr="0048193C" w:rsidRDefault="00F7300F" w:rsidP="00F7300F">
      <w:pPr>
        <w:pStyle w:val="ListParagraph"/>
        <w:contextualSpacing w:val="0"/>
        <w:rPr>
          <w:rFonts w:asciiTheme="majorHAnsi" w:hAnsiTheme="majorHAnsi" w:cstheme="majorHAnsi"/>
          <w:i/>
          <w:iCs/>
        </w:rPr>
      </w:pPr>
      <w:r>
        <w:rPr>
          <w:rFonts w:asciiTheme="majorHAnsi" w:hAnsiTheme="majorHAnsi" w:cstheme="majorHAnsi"/>
        </w:rPr>
        <w:t>“</w:t>
      </w:r>
      <w:r w:rsidRPr="00FF187D">
        <w:rPr>
          <w:rFonts w:asciiTheme="majorHAnsi" w:hAnsiTheme="majorHAnsi" w:cstheme="majorHAnsi"/>
          <w:i/>
          <w:iCs/>
        </w:rPr>
        <w:t>Therefore you have no excuse, O man, every one of you who judges. For in passing judgment on another you condemn yourself, because you, the judge, practice the very same things</w:t>
      </w:r>
      <w:r>
        <w:rPr>
          <w:rFonts w:asciiTheme="majorHAnsi" w:hAnsiTheme="majorHAnsi" w:cstheme="majorHAnsi"/>
        </w:rPr>
        <w:t>” (Rom. 2:1).</w:t>
      </w:r>
    </w:p>
    <w:p w14:paraId="58E5F58D" w14:textId="77777777" w:rsidR="00F7300F" w:rsidRDefault="00F7300F" w:rsidP="00F7300F">
      <w:pPr>
        <w:rPr>
          <w:rFonts w:asciiTheme="majorHAnsi" w:hAnsiTheme="majorHAnsi" w:cstheme="majorHAnsi"/>
        </w:rPr>
      </w:pPr>
    </w:p>
    <w:p w14:paraId="090A1A7C" w14:textId="77777777" w:rsidR="00F7300F" w:rsidRPr="00E65048" w:rsidRDefault="00F7300F" w:rsidP="00F7300F">
      <w:pPr>
        <w:rPr>
          <w:rFonts w:asciiTheme="majorHAnsi" w:hAnsiTheme="majorHAnsi" w:cstheme="majorHAnsi"/>
        </w:rPr>
      </w:pPr>
    </w:p>
    <w:p w14:paraId="63A6CEFA" w14:textId="77777777" w:rsidR="00F7300F" w:rsidRPr="008C5E8C" w:rsidRDefault="00F7300F" w:rsidP="00F7300F">
      <w:pPr>
        <w:pStyle w:val="ListParagraph"/>
        <w:contextualSpacing w:val="0"/>
        <w:rPr>
          <w:rFonts w:asciiTheme="majorHAnsi" w:hAnsiTheme="majorHAnsi" w:cstheme="majorHAnsi"/>
        </w:rPr>
      </w:pPr>
    </w:p>
    <w:p w14:paraId="115F350C" w14:textId="77777777" w:rsidR="00F7300F" w:rsidRDefault="00F7300F" w:rsidP="00F7300F">
      <w:pPr>
        <w:pStyle w:val="ListParagraph"/>
        <w:numPr>
          <w:ilvl w:val="0"/>
          <w:numId w:val="2"/>
        </w:numPr>
        <w:contextualSpacing w:val="0"/>
        <w:rPr>
          <w:rFonts w:asciiTheme="majorHAnsi" w:hAnsiTheme="majorHAnsi" w:cstheme="majorHAnsi"/>
        </w:rPr>
      </w:pPr>
      <w:r>
        <w:rPr>
          <w:rFonts w:asciiTheme="majorHAnsi" w:hAnsiTheme="majorHAnsi" w:cstheme="majorHAnsi"/>
        </w:rPr>
        <w:t>The display of the glory of Christ’s compassion (vv.9-11a; cf. John 3:17-18)</w:t>
      </w:r>
    </w:p>
    <w:p w14:paraId="0C82DA3D" w14:textId="77777777" w:rsidR="00F7300F" w:rsidRDefault="00F7300F" w:rsidP="00F7300F">
      <w:pPr>
        <w:pStyle w:val="ListParagraph"/>
        <w:contextualSpacing w:val="0"/>
        <w:rPr>
          <w:rFonts w:asciiTheme="majorHAnsi" w:hAnsiTheme="majorHAnsi" w:cstheme="majorHAnsi"/>
        </w:rPr>
      </w:pPr>
      <w:r>
        <w:rPr>
          <w:rFonts w:asciiTheme="majorHAnsi" w:hAnsiTheme="majorHAnsi" w:cstheme="majorHAnsi"/>
        </w:rPr>
        <w:t>“</w:t>
      </w:r>
      <w:r w:rsidRPr="002A36CD">
        <w:rPr>
          <w:rFonts w:asciiTheme="majorHAnsi" w:hAnsiTheme="majorHAnsi" w:cstheme="majorHAnsi"/>
          <w:i/>
          <w:iCs/>
        </w:rPr>
        <w:t>As I live, declares the Lord GOD, I have no pleasure in the death of the wicked, but that the wicked turn from his way and live; turn back, turn back from your evil ways, for why will you die, O house of Israel?”</w:t>
      </w:r>
      <w:r w:rsidRPr="00D60B42">
        <w:rPr>
          <w:rFonts w:asciiTheme="majorHAnsi" w:hAnsiTheme="majorHAnsi" w:cstheme="majorHAnsi"/>
        </w:rPr>
        <w:t xml:space="preserve"> </w:t>
      </w:r>
      <w:r>
        <w:rPr>
          <w:rFonts w:asciiTheme="majorHAnsi" w:hAnsiTheme="majorHAnsi" w:cstheme="majorHAnsi"/>
        </w:rPr>
        <w:t>(Ezek. 33:11)</w:t>
      </w:r>
    </w:p>
    <w:p w14:paraId="12FB1793" w14:textId="77777777" w:rsidR="00F7300F" w:rsidRDefault="00F7300F" w:rsidP="00F7300F">
      <w:pPr>
        <w:pStyle w:val="ListParagraph"/>
        <w:contextualSpacing w:val="0"/>
        <w:rPr>
          <w:rFonts w:asciiTheme="majorHAnsi" w:hAnsiTheme="majorHAnsi" w:cstheme="majorHAnsi"/>
        </w:rPr>
      </w:pPr>
    </w:p>
    <w:p w14:paraId="45C42BD5" w14:textId="77777777" w:rsidR="00F7300F" w:rsidRDefault="00F7300F" w:rsidP="00F7300F">
      <w:pPr>
        <w:pStyle w:val="ListParagraph"/>
        <w:contextualSpacing w:val="0"/>
        <w:rPr>
          <w:rFonts w:asciiTheme="majorHAnsi" w:hAnsiTheme="majorHAnsi" w:cstheme="majorHAnsi"/>
        </w:rPr>
      </w:pPr>
    </w:p>
    <w:p w14:paraId="11D26485" w14:textId="77777777" w:rsidR="00F7300F" w:rsidRPr="008C5E8C" w:rsidRDefault="00F7300F" w:rsidP="00F7300F">
      <w:pPr>
        <w:pStyle w:val="ListParagraph"/>
        <w:contextualSpacing w:val="0"/>
        <w:rPr>
          <w:rFonts w:asciiTheme="majorHAnsi" w:hAnsiTheme="majorHAnsi" w:cstheme="majorHAnsi"/>
        </w:rPr>
      </w:pPr>
    </w:p>
    <w:p w14:paraId="4F67097F" w14:textId="77777777" w:rsidR="00F7300F" w:rsidRDefault="00F7300F" w:rsidP="00F7300F">
      <w:pPr>
        <w:pStyle w:val="ListParagraph"/>
        <w:numPr>
          <w:ilvl w:val="0"/>
          <w:numId w:val="2"/>
        </w:numPr>
        <w:contextualSpacing w:val="0"/>
        <w:rPr>
          <w:rFonts w:asciiTheme="majorHAnsi" w:hAnsiTheme="majorHAnsi" w:cstheme="majorHAnsi"/>
        </w:rPr>
      </w:pPr>
      <w:r>
        <w:rPr>
          <w:rFonts w:asciiTheme="majorHAnsi" w:hAnsiTheme="majorHAnsi" w:cstheme="majorHAnsi"/>
        </w:rPr>
        <w:t xml:space="preserve">The display of the glory of Christ’s </w:t>
      </w:r>
      <w:r w:rsidRPr="008C5E8C">
        <w:rPr>
          <w:rFonts w:asciiTheme="majorHAnsi" w:hAnsiTheme="majorHAnsi" w:cstheme="majorHAnsi"/>
        </w:rPr>
        <w:t>life-transforming message</w:t>
      </w:r>
      <w:r>
        <w:rPr>
          <w:rFonts w:asciiTheme="majorHAnsi" w:hAnsiTheme="majorHAnsi" w:cstheme="majorHAnsi"/>
        </w:rPr>
        <w:t xml:space="preserve"> (v.11b; John 5:14)</w:t>
      </w:r>
    </w:p>
    <w:p w14:paraId="3EE43C68" w14:textId="77777777" w:rsidR="00F7300F" w:rsidRPr="009653A4" w:rsidRDefault="00F7300F" w:rsidP="00F7300F">
      <w:pPr>
        <w:pStyle w:val="ListParagraph"/>
        <w:contextualSpacing w:val="0"/>
        <w:rPr>
          <w:rFonts w:asciiTheme="majorHAnsi" w:hAnsiTheme="majorHAnsi" w:cstheme="majorHAnsi"/>
          <w:i/>
          <w:iCs/>
        </w:rPr>
      </w:pPr>
      <w:r w:rsidRPr="009653A4">
        <w:rPr>
          <w:rFonts w:asciiTheme="majorHAnsi" w:hAnsiTheme="majorHAnsi" w:cstheme="majorHAnsi"/>
          <w:i/>
          <w:iCs/>
        </w:rPr>
        <w:t>“I have been crucified with Christ. It is no longer I who live, but Christ who lives in me. And the life I now live in the flesh I live by faith in the Son of God, who loved me and gave himself for me” (Gal. 2:20).</w:t>
      </w:r>
    </w:p>
    <w:p w14:paraId="1AF4E35C" w14:textId="77777777" w:rsidR="00BD2E51" w:rsidRDefault="00BD2E51"/>
    <w:sectPr w:rsidR="00BD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64B13"/>
    <w:multiLevelType w:val="hybridMultilevel"/>
    <w:tmpl w:val="BC9AD2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F45EE"/>
    <w:multiLevelType w:val="hybridMultilevel"/>
    <w:tmpl w:val="A2981B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AD"/>
    <w:rsid w:val="0091152F"/>
    <w:rsid w:val="00B21146"/>
    <w:rsid w:val="00BD2E51"/>
    <w:rsid w:val="00C239AD"/>
    <w:rsid w:val="00F73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58E7"/>
  <w15:chartTrackingRefBased/>
  <w15:docId w15:val="{A1AAEE8F-BE68-412D-8FE1-994031F7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3</cp:revision>
  <dcterms:created xsi:type="dcterms:W3CDTF">2021-08-31T17:59:00Z</dcterms:created>
  <dcterms:modified xsi:type="dcterms:W3CDTF">2021-08-31T18:00:00Z</dcterms:modified>
</cp:coreProperties>
</file>